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 w:rsidR="009F408E" w:rsidRPr="0035748B" w14:paraId="05296531" w14:textId="77777777" w:rsidTr="00367282">
        <w:trPr>
          <w:trHeight w:val="3794"/>
        </w:trPr>
        <w:tc>
          <w:tcPr>
            <w:tcW w:w="4672" w:type="dxa"/>
            <w:shd w:val="clear" w:color="auto" w:fill="auto"/>
          </w:tcPr>
          <w:p w14:paraId="2E2352BB" w14:textId="2D5A1340" w:rsidR="009F408E" w:rsidRPr="0035748B" w:rsidRDefault="00A6273C" w:rsidP="009F408E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A1455B" wp14:editId="1561DEC1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22860</wp:posOffset>
                  </wp:positionV>
                  <wp:extent cx="2818765" cy="4060825"/>
                  <wp:effectExtent l="19050" t="19050" r="24130" b="190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8" t="4968" r="27225" b="3096"/>
                          <a:stretch/>
                        </pic:blipFill>
                        <pic:spPr bwMode="auto">
                          <a:xfrm>
                            <a:off x="0" y="0"/>
                            <a:ext cx="2818765" cy="40608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shd w:val="clear" w:color="auto" w:fill="auto"/>
          </w:tcPr>
          <w:p w14:paraId="16AF091B" w14:textId="2230FFC1" w:rsidR="009F408E" w:rsidRDefault="00E3422A" w:rsidP="009F408E">
            <w:pPr>
              <w:pStyle w:val="1"/>
              <w:shd w:val="clear" w:color="auto" w:fill="FFFFFF"/>
              <w:spacing w:before="0" w:after="0" w:line="360" w:lineRule="auto"/>
              <w:rPr>
                <w:bCs/>
                <w:iCs/>
                <w:sz w:val="28"/>
                <w:szCs w:val="28"/>
              </w:rPr>
            </w:pPr>
            <w:r w:rsidRPr="00E3422A">
              <w:rPr>
                <w:bCs/>
                <w:iCs/>
                <w:sz w:val="28"/>
                <w:szCs w:val="28"/>
              </w:rPr>
              <w:t>Кудрина Т.П. Ранняя помощь как необходимое условие инклюзии слепых детей / Т.П.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E3422A">
              <w:rPr>
                <w:bCs/>
                <w:iCs/>
                <w:sz w:val="28"/>
                <w:szCs w:val="28"/>
              </w:rPr>
              <w:t>Кудрина</w:t>
            </w:r>
            <w:r w:rsidR="00ED6413" w:rsidRPr="00ED6413">
              <w:rPr>
                <w:bCs/>
                <w:iCs/>
                <w:sz w:val="28"/>
                <w:szCs w:val="28"/>
              </w:rPr>
              <w:t xml:space="preserve"> </w:t>
            </w:r>
            <w:r w:rsidR="00A6273C" w:rsidRPr="00A6273C">
              <w:rPr>
                <w:bCs/>
                <w:iCs/>
                <w:sz w:val="28"/>
                <w:szCs w:val="28"/>
              </w:rPr>
              <w:t>/</w:t>
            </w:r>
            <w:r w:rsidR="00A6273C">
              <w:rPr>
                <w:bCs/>
                <w:iCs/>
                <w:sz w:val="28"/>
                <w:szCs w:val="28"/>
              </w:rPr>
              <w:t>/</w:t>
            </w:r>
            <w:r w:rsidR="00A6273C" w:rsidRPr="00A6273C">
              <w:rPr>
                <w:bCs/>
                <w:iCs/>
                <w:sz w:val="28"/>
                <w:szCs w:val="28"/>
              </w:rPr>
              <w:t xml:space="preserve"> Стратегии современной инклюзии: инновационный путь развития как ответ на вызовы нового времени: материалы Международной научно-практической конференции (г.</w:t>
            </w:r>
            <w:r w:rsidR="00A6273C">
              <w:rPr>
                <w:bCs/>
                <w:iCs/>
                <w:sz w:val="28"/>
                <w:szCs w:val="28"/>
              </w:rPr>
              <w:t> </w:t>
            </w:r>
            <w:r w:rsidR="00A6273C" w:rsidRPr="00A6273C">
              <w:rPr>
                <w:bCs/>
                <w:iCs/>
                <w:sz w:val="28"/>
                <w:szCs w:val="28"/>
              </w:rPr>
              <w:t>Челябинск, 17 ноября 2022 г.) / под общ. ред. В.С. Васильевой, С.В.</w:t>
            </w:r>
            <w:r w:rsidR="00A6273C">
              <w:rPr>
                <w:bCs/>
                <w:iCs/>
                <w:sz w:val="28"/>
                <w:szCs w:val="28"/>
              </w:rPr>
              <w:t> </w:t>
            </w:r>
            <w:r w:rsidR="00A6273C" w:rsidRPr="00A6273C">
              <w:rPr>
                <w:bCs/>
                <w:iCs/>
                <w:sz w:val="28"/>
                <w:szCs w:val="28"/>
              </w:rPr>
              <w:t>Росляковой; Южно-Уральский государственный гуманитарно-педагогический университет. – [Челябинск]: Южно-Уральский научный центр РАО, 2022</w:t>
            </w:r>
            <w:r w:rsidR="00A6273C">
              <w:rPr>
                <w:bCs/>
                <w:iCs/>
                <w:sz w:val="28"/>
                <w:szCs w:val="28"/>
              </w:rPr>
              <w:t>. ‒</w:t>
            </w:r>
            <w:r w:rsidR="00A6273C" w:rsidRPr="00A6273C">
              <w:rPr>
                <w:bCs/>
                <w:iCs/>
                <w:sz w:val="28"/>
                <w:szCs w:val="28"/>
              </w:rPr>
              <w:t xml:space="preserve"> С. </w:t>
            </w:r>
            <w:r w:rsidRPr="00E3422A">
              <w:rPr>
                <w:bCs/>
                <w:iCs/>
                <w:sz w:val="28"/>
                <w:szCs w:val="28"/>
              </w:rPr>
              <w:t>334-339</w:t>
            </w:r>
            <w:r w:rsidR="00A6273C">
              <w:rPr>
                <w:bCs/>
                <w:iCs/>
                <w:sz w:val="28"/>
                <w:szCs w:val="28"/>
              </w:rPr>
              <w:t>.</w:t>
            </w:r>
          </w:p>
          <w:p w14:paraId="1C29A847" w14:textId="1ADCEAB4" w:rsidR="00A6273C" w:rsidRPr="00556B5B" w:rsidRDefault="00A6273C" w:rsidP="009F408E">
            <w:pPr>
              <w:pStyle w:val="1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A6273C">
              <w:rPr>
                <w:sz w:val="28"/>
                <w:szCs w:val="28"/>
              </w:rPr>
              <w:t>ISBN 978-5-93162-722-9</w:t>
            </w:r>
          </w:p>
        </w:tc>
      </w:tr>
    </w:tbl>
    <w:p w14:paraId="381F684A" w14:textId="77777777" w:rsidR="009F408E" w:rsidRDefault="009F408E" w:rsidP="009F408E">
      <w:pPr>
        <w:jc w:val="both"/>
        <w:rPr>
          <w:rFonts w:ascii="Times New Roman" w:hAnsi="Times New Roman"/>
          <w:b/>
          <w:sz w:val="28"/>
          <w:szCs w:val="28"/>
        </w:rPr>
      </w:pPr>
    </w:p>
    <w:p w14:paraId="63DBF869" w14:textId="01C5CCE9" w:rsidR="009F408E" w:rsidRPr="00556B5B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22A">
        <w:rPr>
          <w:rFonts w:ascii="Times New Roman" w:hAnsi="Times New Roman"/>
          <w:sz w:val="28"/>
          <w:szCs w:val="28"/>
        </w:rPr>
        <w:t>в</w:t>
      </w:r>
      <w:r w:rsidR="00E3422A" w:rsidRPr="00E3422A">
        <w:rPr>
          <w:rFonts w:ascii="Times New Roman" w:hAnsi="Times New Roman"/>
          <w:sz w:val="28"/>
          <w:szCs w:val="28"/>
        </w:rPr>
        <w:t xml:space="preserve"> статье рассматриваются условия, при которых включение ребенка дошкольного возраста с нарушением зрения общий образовательный поток представляется актуальным и полезным для его развития. Делается вывод о том, что возможность инклюзии для слепого ребенка является результатом ранней помощи, в содержание которой заложены задачи развития у ребенка общения (коммуникативной деятельности) как основы для формирования его личности и познавательной сферы.</w:t>
      </w:r>
    </w:p>
    <w:p w14:paraId="64D88F8B" w14:textId="55952F28" w:rsidR="001F6C9C" w:rsidRPr="009F408E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Ключевые слова:</w:t>
      </w:r>
      <w:r w:rsidRPr="00556B5B">
        <w:rPr>
          <w:rFonts w:ascii="Times New Roman" w:hAnsi="Times New Roman"/>
          <w:sz w:val="28"/>
          <w:szCs w:val="28"/>
        </w:rPr>
        <w:t xml:space="preserve"> </w:t>
      </w:r>
      <w:r w:rsidR="00E3422A" w:rsidRPr="00E3422A">
        <w:rPr>
          <w:rFonts w:ascii="Times New Roman" w:hAnsi="Times New Roman"/>
          <w:sz w:val="28"/>
          <w:szCs w:val="28"/>
        </w:rPr>
        <w:t>слепые дети, инклюзия, ранняя помощь, общение, особые образовательные потребности, коммуникативные действия взрослого, транслирующие действия взрослого</w:t>
      </w:r>
      <w:r w:rsidR="00A6273C" w:rsidRPr="00A6273C">
        <w:rPr>
          <w:rFonts w:ascii="Times New Roman" w:hAnsi="Times New Roman"/>
          <w:sz w:val="28"/>
          <w:szCs w:val="28"/>
        </w:rPr>
        <w:t>.</w:t>
      </w:r>
    </w:p>
    <w:sectPr w:rsidR="001F6C9C" w:rsidRPr="009F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E"/>
    <w:rsid w:val="001F6C9C"/>
    <w:rsid w:val="004C02AE"/>
    <w:rsid w:val="008071B8"/>
    <w:rsid w:val="009F408E"/>
    <w:rsid w:val="00A6273C"/>
    <w:rsid w:val="00DE44AC"/>
    <w:rsid w:val="00E15A66"/>
    <w:rsid w:val="00E3422A"/>
    <w:rsid w:val="00E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D8A"/>
  <w15:chartTrackingRefBased/>
  <w15:docId w15:val="{650AF5C1-4C82-4F47-95A7-1CE6C1A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9F408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2023-01-11T08:55:00Z</dcterms:created>
  <dcterms:modified xsi:type="dcterms:W3CDTF">2023-01-11T08:55:00Z</dcterms:modified>
</cp:coreProperties>
</file>