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28" w:rsidRDefault="001B13A2" w:rsidP="001B13A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304925" cy="181927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1B13A2">
        <w:rPr>
          <w:rFonts w:ascii="Times New Roman" w:hAnsi="Times New Roman" w:cs="Times New Roman"/>
          <w:b/>
          <w:bCs/>
          <w:sz w:val="32"/>
          <w:szCs w:val="32"/>
        </w:rPr>
        <w:t>Басаргина</w:t>
      </w:r>
      <w:proofErr w:type="spellEnd"/>
      <w:r w:rsidRPr="001B13A2">
        <w:rPr>
          <w:rFonts w:ascii="Times New Roman" w:hAnsi="Times New Roman" w:cs="Times New Roman"/>
          <w:b/>
          <w:bCs/>
          <w:sz w:val="32"/>
          <w:szCs w:val="32"/>
        </w:rPr>
        <w:t xml:space="preserve"> М.А., </w:t>
      </w:r>
      <w:proofErr w:type="spellStart"/>
      <w:r w:rsidRPr="001B13A2">
        <w:rPr>
          <w:rFonts w:ascii="Times New Roman" w:hAnsi="Times New Roman" w:cs="Times New Roman"/>
          <w:b/>
          <w:bCs/>
          <w:sz w:val="32"/>
          <w:szCs w:val="32"/>
        </w:rPr>
        <w:t>Дяйкина</w:t>
      </w:r>
      <w:proofErr w:type="spellEnd"/>
      <w:r w:rsidRPr="001B13A2">
        <w:rPr>
          <w:rFonts w:ascii="Times New Roman" w:hAnsi="Times New Roman" w:cs="Times New Roman"/>
          <w:b/>
          <w:bCs/>
          <w:sz w:val="32"/>
          <w:szCs w:val="32"/>
        </w:rPr>
        <w:t xml:space="preserve"> В.В., </w:t>
      </w:r>
      <w:proofErr w:type="spellStart"/>
      <w:r w:rsidRPr="001B13A2">
        <w:rPr>
          <w:rFonts w:ascii="Times New Roman" w:hAnsi="Times New Roman" w:cs="Times New Roman"/>
          <w:b/>
          <w:bCs/>
          <w:sz w:val="32"/>
          <w:szCs w:val="32"/>
        </w:rPr>
        <w:t>Митиш</w:t>
      </w:r>
      <w:proofErr w:type="spellEnd"/>
      <w:r w:rsidRPr="001B13A2">
        <w:rPr>
          <w:rFonts w:ascii="Times New Roman" w:hAnsi="Times New Roman" w:cs="Times New Roman"/>
          <w:b/>
          <w:bCs/>
          <w:sz w:val="32"/>
          <w:szCs w:val="32"/>
        </w:rPr>
        <w:t xml:space="preserve"> М.Д., </w:t>
      </w:r>
      <w:proofErr w:type="spellStart"/>
      <w:r w:rsidRPr="001B13A2">
        <w:rPr>
          <w:rFonts w:ascii="Times New Roman" w:hAnsi="Times New Roman" w:cs="Times New Roman"/>
          <w:b/>
          <w:bCs/>
          <w:sz w:val="32"/>
          <w:szCs w:val="32"/>
        </w:rPr>
        <w:t>Лазуренко</w:t>
      </w:r>
      <w:proofErr w:type="spellEnd"/>
      <w:r w:rsidRPr="001B13A2">
        <w:rPr>
          <w:rFonts w:ascii="Times New Roman" w:hAnsi="Times New Roman" w:cs="Times New Roman"/>
          <w:b/>
          <w:bCs/>
          <w:sz w:val="32"/>
          <w:szCs w:val="32"/>
        </w:rPr>
        <w:t xml:space="preserve"> С.Б., Масленникова В.А., Харитонова Н.А. Выбор тактики вскармливания недоношенных детей с функциональной незрелостью артикуляционного аппарата // Неонатология: новости, мнения, обучение. 2021. Т. 9, № 3. С. 16-22 DOI: 10.33029/2308-2402-2021-9-3-16-22</w:t>
      </w:r>
      <w:r w:rsidRPr="0092328C">
        <w:rPr>
          <w:rFonts w:ascii="Times New Roman" w:hAnsi="Times New Roman" w:cs="Times New Roman"/>
          <w:bCs/>
          <w:sz w:val="20"/>
          <w:szCs w:val="20"/>
        </w:rPr>
        <w:tab/>
      </w:r>
    </w:p>
    <w:p w:rsidR="001B13A2" w:rsidRPr="001B13A2" w:rsidRDefault="00827ADD" w:rsidP="00827ADD">
      <w:pPr>
        <w:tabs>
          <w:tab w:val="left" w:pos="8505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1B13A2" w:rsidRPr="001B13A2" w:rsidRDefault="001B13A2" w:rsidP="001B13A2">
      <w:pPr>
        <w:rPr>
          <w:rFonts w:ascii="Times New Roman" w:hAnsi="Times New Roman" w:cs="Times New Roman"/>
          <w:b/>
          <w:sz w:val="28"/>
          <w:szCs w:val="28"/>
        </w:rPr>
      </w:pPr>
      <w:r w:rsidRPr="001B13A2">
        <w:rPr>
          <w:rFonts w:ascii="Times New Roman" w:hAnsi="Times New Roman" w:cs="Times New Roman"/>
          <w:b/>
          <w:sz w:val="28"/>
          <w:szCs w:val="28"/>
        </w:rPr>
        <w:t>Резюме</w:t>
      </w:r>
    </w:p>
    <w:p w:rsidR="001B13A2" w:rsidRPr="001B13A2" w:rsidRDefault="001B13A2" w:rsidP="001B13A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B13A2">
        <w:rPr>
          <w:rFonts w:ascii="Times New Roman" w:hAnsi="Times New Roman" w:cs="Times New Roman"/>
          <w:sz w:val="28"/>
          <w:szCs w:val="28"/>
        </w:rPr>
        <w:t xml:space="preserve">Нарушение функций сосания и глотания характерно для недоношенных детей с различной перинатальной патологией, особенно с тяжелым и среднетяжелым течением бронхолегочной дисплазии. Успешное кормление зависит от способности ребенка координировать мышцы ротовой полости, верхней половины туловища и дыхательной системы. В связи с этим изучение состояния артикуляционной моторики, поиск способов стимуляции сосательного рефлекса и скоординированного функционирования мышц лица, языка и мягкого нёба особенно актуальны у недоношенных младенцев. Логопедическое обследование показало зависимость способа вскармливания от тонуса мышц органов артикуляции. Повышенный тонус мышц вызывает импульсивное сосание, быстро истощающиеся сосательные движения; пониженный тонус мышц </w:t>
      </w:r>
      <w:proofErr w:type="gramStart"/>
      <w:r w:rsidRPr="001B13A2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1B13A2">
        <w:rPr>
          <w:rFonts w:ascii="Times New Roman" w:hAnsi="Times New Roman" w:cs="Times New Roman"/>
          <w:sz w:val="28"/>
          <w:szCs w:val="28"/>
        </w:rPr>
        <w:t>езрелое, вялое сосание, истощающиеся движения языком и губами; смешанный тонус - неритмичное сосание, координированные движения языка и губ. Таким образом, тонус лицевой мускулатуры определяет тактику вскармливания и является показанием для начала логопедического воздействия по развитию артикуляторных возможностей у недоношенных детей при нарушении процессов сосания и глотания. Методы и объем логопедической помощи в программе комплексной реабилитации подбирают по результатам логопедического обследования ребенка с целью нормализации тонуса мышц лицевой мускулатуры и обеспечения возможности самостоятельного сосания.</w:t>
      </w:r>
    </w:p>
    <w:p w:rsidR="001B13A2" w:rsidRPr="001B13A2" w:rsidRDefault="001B13A2" w:rsidP="001B13A2">
      <w:pPr>
        <w:jc w:val="both"/>
        <w:rPr>
          <w:rFonts w:ascii="Times New Roman" w:hAnsi="Times New Roman" w:cs="Times New Roman"/>
          <w:sz w:val="28"/>
          <w:szCs w:val="28"/>
        </w:rPr>
      </w:pPr>
      <w:r w:rsidRPr="001B13A2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="00736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13A2">
        <w:rPr>
          <w:rFonts w:ascii="Times New Roman" w:hAnsi="Times New Roman" w:cs="Times New Roman"/>
          <w:sz w:val="28"/>
          <w:szCs w:val="28"/>
        </w:rPr>
        <w:t>недоношенные дети, сосательный рефлекс, логопедическое обследование, комплексная реабилитация, неонатальный период, организация питания</w:t>
      </w:r>
    </w:p>
    <w:bookmarkEnd w:id="0"/>
    <w:p w:rsidR="001B13A2" w:rsidRDefault="001B13A2" w:rsidP="001B13A2"/>
    <w:sectPr w:rsidR="001B13A2" w:rsidSect="00B7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79C"/>
    <w:rsid w:val="001B13A2"/>
    <w:rsid w:val="003B6428"/>
    <w:rsid w:val="00684404"/>
    <w:rsid w:val="00736AA1"/>
    <w:rsid w:val="0074479C"/>
    <w:rsid w:val="00827ADD"/>
    <w:rsid w:val="00B7157E"/>
    <w:rsid w:val="00C45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3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3A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1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3A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3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3A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1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3A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Астахова Мария Александровна</dc:creator>
  <cp:lastModifiedBy>marketing</cp:lastModifiedBy>
  <cp:revision>2</cp:revision>
  <dcterms:created xsi:type="dcterms:W3CDTF">2022-03-18T13:09:00Z</dcterms:created>
  <dcterms:modified xsi:type="dcterms:W3CDTF">2022-03-18T13:09:00Z</dcterms:modified>
</cp:coreProperties>
</file>