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3" w:rsidRPr="00494CA3" w:rsidRDefault="006044F3" w:rsidP="006044F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47524</wp:posOffset>
            </wp:positionH>
            <wp:positionV relativeFrom="paragraph">
              <wp:posOffset>13970</wp:posOffset>
            </wp:positionV>
            <wp:extent cx="1558925" cy="2411730"/>
            <wp:effectExtent l="0" t="0" r="3175" b="762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fektologiya_2021_06 (2)_2-2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i/>
          <w:sz w:val="32"/>
        </w:rPr>
        <w:t>Лалаянц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М.Р.,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Баудэ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Е.А.,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Олешова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В.В.</w:t>
      </w:r>
    </w:p>
    <w:p w:rsidR="006044F3" w:rsidRDefault="006044F3" w:rsidP="006044F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Заболевания </w:t>
      </w:r>
      <w:proofErr w:type="spellStart"/>
      <w:r>
        <w:rPr>
          <w:rFonts w:ascii="Times New Roman" w:hAnsi="Times New Roman" w:cs="Times New Roman"/>
          <w:b/>
          <w:sz w:val="32"/>
        </w:rPr>
        <w:t>спектрааудиторных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нейропатий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: роль сурдопедагога в диагностике и ведении детей раннего возраста </w:t>
      </w:r>
      <w:r w:rsidRPr="00494CA3">
        <w:rPr>
          <w:rFonts w:ascii="Times New Roman" w:hAnsi="Times New Roman" w:cs="Times New Roman"/>
          <w:b/>
          <w:sz w:val="32"/>
        </w:rPr>
        <w:t xml:space="preserve">// </w:t>
      </w:r>
    </w:p>
    <w:p w:rsidR="006044F3" w:rsidRPr="00494CA3" w:rsidRDefault="006044F3" w:rsidP="006044F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Дефектология</w:t>
      </w:r>
      <w:r w:rsidRPr="00494CA3">
        <w:rPr>
          <w:rFonts w:ascii="Times New Roman" w:hAnsi="Times New Roman" w:cs="Times New Roman"/>
          <w:b/>
          <w:sz w:val="32"/>
        </w:rPr>
        <w:t xml:space="preserve">. 2021. № </w:t>
      </w:r>
      <w:r>
        <w:rPr>
          <w:rFonts w:ascii="Times New Roman" w:hAnsi="Times New Roman" w:cs="Times New Roman"/>
          <w:b/>
          <w:sz w:val="32"/>
        </w:rPr>
        <w:t>6</w:t>
      </w:r>
      <w:r w:rsidRPr="00494CA3">
        <w:rPr>
          <w:rFonts w:ascii="Times New Roman" w:hAnsi="Times New Roman" w:cs="Times New Roman"/>
          <w:b/>
          <w:sz w:val="32"/>
        </w:rPr>
        <w:t xml:space="preserve">. С. </w:t>
      </w:r>
      <w:r>
        <w:rPr>
          <w:rFonts w:ascii="Times New Roman" w:hAnsi="Times New Roman" w:cs="Times New Roman"/>
          <w:b/>
          <w:sz w:val="32"/>
        </w:rPr>
        <w:t>57</w:t>
      </w:r>
      <w:r w:rsidRPr="00494CA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65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6044F3" w:rsidRDefault="006044F3" w:rsidP="006044F3">
      <w:pPr>
        <w:spacing w:after="0" w:line="240" w:lineRule="auto"/>
        <w:rPr>
          <w:b/>
        </w:rPr>
      </w:pPr>
    </w:p>
    <w:p w:rsidR="006044F3" w:rsidRDefault="006044F3" w:rsidP="006044F3">
      <w:pPr>
        <w:spacing w:after="0" w:line="240" w:lineRule="auto"/>
        <w:rPr>
          <w:b/>
        </w:rPr>
      </w:pPr>
    </w:p>
    <w:p w:rsidR="006044F3" w:rsidRDefault="006044F3" w:rsidP="006044F3">
      <w:pPr>
        <w:spacing w:after="0" w:line="240" w:lineRule="auto"/>
        <w:rPr>
          <w:b/>
        </w:rPr>
      </w:pPr>
    </w:p>
    <w:p w:rsid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44F3" w:rsidRPr="00494CA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900E91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900E91">
        <w:rPr>
          <w:rFonts w:ascii="Times New Roman" w:hAnsi="Times New Roman" w:cs="Times New Roman"/>
          <w:sz w:val="28"/>
        </w:rPr>
        <w:t>статье</w:t>
      </w:r>
      <w:r>
        <w:rPr>
          <w:rFonts w:ascii="Times New Roman" w:hAnsi="Times New Roman" w:cs="Times New Roman"/>
          <w:sz w:val="28"/>
        </w:rPr>
        <w:t>раскрывается</w:t>
      </w:r>
      <w:proofErr w:type="spellEnd"/>
      <w:r>
        <w:rPr>
          <w:rFonts w:ascii="Times New Roman" w:hAnsi="Times New Roman" w:cs="Times New Roman"/>
          <w:sz w:val="28"/>
        </w:rPr>
        <w:t xml:space="preserve"> роль медико-педагогического взаимодействия при диагностике детей с заболеваниями спектра аудиторных </w:t>
      </w:r>
      <w:proofErr w:type="spellStart"/>
      <w:r>
        <w:rPr>
          <w:rFonts w:ascii="Times New Roman" w:hAnsi="Times New Roman" w:cs="Times New Roman"/>
          <w:sz w:val="28"/>
        </w:rPr>
        <w:t>нейропатий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ANSD</w:t>
      </w:r>
      <w:r>
        <w:rPr>
          <w:rFonts w:ascii="Times New Roman" w:hAnsi="Times New Roman" w:cs="Times New Roman"/>
          <w:sz w:val="28"/>
        </w:rPr>
        <w:t>). Авторы раскрывают особенности субъективных (</w:t>
      </w:r>
      <w:proofErr w:type="spellStart"/>
      <w:r>
        <w:rPr>
          <w:rFonts w:ascii="Times New Roman" w:hAnsi="Times New Roman" w:cs="Times New Roman"/>
          <w:sz w:val="28"/>
        </w:rPr>
        <w:t>психоакустических</w:t>
      </w:r>
      <w:proofErr w:type="spellEnd"/>
      <w:r>
        <w:rPr>
          <w:rFonts w:ascii="Times New Roman" w:hAnsi="Times New Roman" w:cs="Times New Roman"/>
          <w:sz w:val="28"/>
        </w:rPr>
        <w:t xml:space="preserve">) и объективных методов исследования слуха при обследовании детей с </w:t>
      </w:r>
      <w:r w:rsidRPr="002A53AC">
        <w:rPr>
          <w:rFonts w:ascii="Times New Roman" w:hAnsi="Times New Roman" w:cs="Times New Roman"/>
          <w:sz w:val="28"/>
        </w:rPr>
        <w:t>ANSD</w:t>
      </w:r>
      <w:r>
        <w:rPr>
          <w:rFonts w:ascii="Times New Roman" w:hAnsi="Times New Roman" w:cs="Times New Roman"/>
          <w:sz w:val="28"/>
        </w:rPr>
        <w:t>, а также выделяют основные группы пациентов с данным нарушением.</w:t>
      </w:r>
    </w:p>
    <w:p w:rsid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6366B" w:rsidRPr="006044F3" w:rsidRDefault="006044F3" w:rsidP="006044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 xml:space="preserve">аудиторная </w:t>
      </w:r>
      <w:proofErr w:type="spellStart"/>
      <w:r>
        <w:rPr>
          <w:rFonts w:ascii="Times New Roman" w:hAnsi="Times New Roman" w:cs="Times New Roman"/>
          <w:sz w:val="28"/>
        </w:rPr>
        <w:t>нейропатия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сенсоневральная</w:t>
      </w:r>
      <w:proofErr w:type="spellEnd"/>
      <w:r>
        <w:rPr>
          <w:rFonts w:ascii="Times New Roman" w:hAnsi="Times New Roman" w:cs="Times New Roman"/>
          <w:sz w:val="28"/>
        </w:rPr>
        <w:t xml:space="preserve"> тугоухость, методы исследования слуха, слуховые аппараты, </w:t>
      </w:r>
      <w:proofErr w:type="spellStart"/>
      <w:r>
        <w:rPr>
          <w:rFonts w:ascii="Times New Roman" w:hAnsi="Times New Roman" w:cs="Times New Roman"/>
          <w:sz w:val="28"/>
        </w:rPr>
        <w:t>кохлеарная</w:t>
      </w:r>
      <w:proofErr w:type="spellEnd"/>
      <w:r>
        <w:rPr>
          <w:rFonts w:ascii="Times New Roman" w:hAnsi="Times New Roman" w:cs="Times New Roman"/>
          <w:sz w:val="28"/>
        </w:rPr>
        <w:t xml:space="preserve"> имплантация</w:t>
      </w:r>
      <w:r w:rsidRPr="00494CA3">
        <w:rPr>
          <w:rFonts w:ascii="Times New Roman" w:hAnsi="Times New Roman" w:cs="Times New Roman"/>
          <w:sz w:val="28"/>
        </w:rPr>
        <w:t>.</w:t>
      </w:r>
    </w:p>
    <w:sectPr w:rsidR="0036366B" w:rsidRPr="006044F3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4F3"/>
    <w:rsid w:val="0036366B"/>
    <w:rsid w:val="0060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2022-03-18T13:02:00Z</dcterms:created>
  <dcterms:modified xsi:type="dcterms:W3CDTF">2022-03-18T13:02:00Z</dcterms:modified>
</cp:coreProperties>
</file>