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AFF7" w14:textId="5BF82657" w:rsidR="00AA7E66" w:rsidRDefault="00CD597E" w:rsidP="00CD597E">
      <w:pPr>
        <w:spacing w:line="25" w:lineRule="atLeast"/>
        <w:ind w:firstLine="709"/>
        <w:jc w:val="both"/>
        <w:rPr>
          <w:b/>
        </w:rPr>
      </w:pPr>
      <w:r>
        <w:rPr>
          <w:b/>
        </w:rPr>
        <w:t>Обществознание 6 класс (5.2)</w:t>
      </w:r>
    </w:p>
    <w:p w14:paraId="59E3CFDD" w14:textId="77777777" w:rsidR="00CD597E" w:rsidRPr="00CD597E" w:rsidRDefault="00CD597E" w:rsidP="00CD597E">
      <w:pPr>
        <w:spacing w:line="25" w:lineRule="atLeast"/>
        <w:ind w:firstLine="709"/>
        <w:jc w:val="both"/>
        <w:rPr>
          <w:b/>
        </w:rPr>
      </w:pPr>
    </w:p>
    <w:p w14:paraId="26F0202F" w14:textId="357567B1" w:rsidR="00953CD4" w:rsidRPr="00CD597E" w:rsidRDefault="00953CD4" w:rsidP="00CD597E">
      <w:pPr>
        <w:spacing w:line="25" w:lineRule="atLeast"/>
        <w:ind w:firstLine="709"/>
        <w:jc w:val="both"/>
      </w:pPr>
      <w:r w:rsidRPr="00CD597E">
        <w:t xml:space="preserve">Курс «Обществознание» является составной частью системы изучения дисциплин социально-гуманитарного цикла. Он строится с учетом того, что учащиеся, освоившие </w:t>
      </w:r>
      <w:r w:rsidR="00CD597E">
        <w:t>элементарную</w:t>
      </w:r>
      <w:r w:rsidRPr="00CD597E">
        <w:t xml:space="preserve"> сумму историко-правовых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  </w:t>
      </w:r>
    </w:p>
    <w:p w14:paraId="1A12943E" w14:textId="31354B98" w:rsidR="0049577A" w:rsidRPr="00CD597E" w:rsidRDefault="00CD597E" w:rsidP="00CD597E">
      <w:pPr>
        <w:spacing w:line="25" w:lineRule="atLeast"/>
        <w:ind w:firstLine="709"/>
        <w:jc w:val="both"/>
      </w:pPr>
      <w:r>
        <w:t>К</w:t>
      </w:r>
      <w:r w:rsidR="0049577A" w:rsidRPr="00CD597E">
        <w:t> началу обучения в </w:t>
      </w:r>
      <w:r>
        <w:t>6 классе обучающиеся</w:t>
      </w:r>
      <w:r w:rsidR="0049577A" w:rsidRPr="00CD597E">
        <w:t xml:space="preserve"> владеют пропедевтическими представлениями о Родине (России, своем крае: районе, городе, селе), гражданстве и гражданских правах, правах ребенка, правилах и нормах жизни в обществе, поведении на улице, в школе, в общественном месте, правилах взаимоотношений между людьми, об уважении к старшим, о составе семьи, родословной, взаимоотношениях с природой, об образцах позитивного поведения. </w:t>
      </w:r>
      <w:r>
        <w:t>Обучающиеся с ТНР имеют сформированную обиходно-бытовую речь, опыт учебной и внеучебной коммуникации, речевые нарушения у них часто носят парциальный характер.</w:t>
      </w:r>
    </w:p>
    <w:p w14:paraId="7B553BF6" w14:textId="61B4B861" w:rsidR="00CD597E" w:rsidRDefault="0049577A" w:rsidP="00CD597E">
      <w:pPr>
        <w:spacing w:line="25" w:lineRule="atLeast"/>
        <w:ind w:firstLine="709"/>
        <w:jc w:val="both"/>
      </w:pPr>
      <w:r w:rsidRPr="00CD597E">
        <w:t>В 6 класс</w:t>
      </w:r>
      <w:r w:rsidR="00CD597E">
        <w:t>е</w:t>
      </w:r>
      <w:r w:rsidRPr="00CD597E">
        <w:t xml:space="preserve"> при изучении обществознания прежде всего даются знания </w:t>
      </w:r>
      <w:proofErr w:type="spellStart"/>
      <w:r w:rsidRPr="00CD597E">
        <w:t>граждановедческого</w:t>
      </w:r>
      <w:proofErr w:type="spellEnd"/>
      <w:r w:rsidRPr="00CD597E">
        <w:t xml:space="preserve"> характера, основу которых составляют наиболее актуальные для учащихся подросткового возраста проблемы жизни личности и общества, жизненные ценности, нравственные и правовые нормы, правила поведения, в том числе взаимоотношения ребенка с семьей, ученическим коллективом, взрослыми; обобщение опыта общения с социальной и природной средой; знания о правах человека и способах их защиты, этические нормы, первичные знания о государстве и законах, социальных институтах и процессах. Изучение данного материала направлено на содействие первичной социализации подростков</w:t>
      </w:r>
      <w:r w:rsidR="00CD597E">
        <w:t xml:space="preserve"> с ТНР.</w:t>
      </w:r>
    </w:p>
    <w:p w14:paraId="55CDC6A5" w14:textId="30069DAB" w:rsidR="00725CD8" w:rsidRPr="00CD597E" w:rsidRDefault="0049577A" w:rsidP="00CD597E">
      <w:pPr>
        <w:spacing w:line="25" w:lineRule="atLeast"/>
        <w:ind w:firstLine="709"/>
        <w:jc w:val="both"/>
      </w:pPr>
      <w:r w:rsidRPr="00CD597E">
        <w:t>Курс строится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поступков.</w:t>
      </w:r>
    </w:p>
    <w:p w14:paraId="3421206F" w14:textId="22F46F39" w:rsidR="000B07F6" w:rsidRPr="00CD597E" w:rsidRDefault="0080689A" w:rsidP="003162EA">
      <w:pPr>
        <w:pStyle w:val="a3"/>
        <w:spacing w:line="25" w:lineRule="atLeast"/>
        <w:ind w:firstLine="709"/>
        <w:jc w:val="both"/>
        <w:rPr>
          <w:b/>
          <w:sz w:val="24"/>
        </w:rPr>
      </w:pPr>
      <w:r w:rsidRPr="00CD597E">
        <w:rPr>
          <w:sz w:val="24"/>
        </w:rPr>
        <w:t>В 6 классе</w:t>
      </w:r>
      <w:r w:rsidR="00CD597E">
        <w:rPr>
          <w:sz w:val="24"/>
        </w:rPr>
        <w:t xml:space="preserve"> </w:t>
      </w:r>
      <w:r w:rsidRPr="00CD597E">
        <w:rPr>
          <w:sz w:val="24"/>
        </w:rPr>
        <w:t>программа является вводно-пропедевтической по отношению к основной школе.</w:t>
      </w:r>
      <w:r w:rsidR="00953CD4" w:rsidRPr="00CD597E">
        <w:rPr>
          <w:sz w:val="24"/>
        </w:rPr>
        <w:tab/>
      </w:r>
      <w:r w:rsidR="00C83146" w:rsidRPr="00CD597E">
        <w:rPr>
          <w:sz w:val="24"/>
        </w:rPr>
        <w:tab/>
      </w:r>
      <w:r w:rsidR="00C83146" w:rsidRPr="00CD597E">
        <w:rPr>
          <w:sz w:val="24"/>
        </w:rPr>
        <w:tab/>
        <w:t xml:space="preserve"> </w:t>
      </w:r>
      <w:r w:rsidR="007D228B" w:rsidRPr="00CD597E">
        <w:rPr>
          <w:sz w:val="24"/>
        </w:rPr>
        <w:t xml:space="preserve">         </w:t>
      </w:r>
      <w:r w:rsidR="00C83146" w:rsidRPr="00CD597E">
        <w:rPr>
          <w:sz w:val="24"/>
        </w:rPr>
        <w:t xml:space="preserve">   </w:t>
      </w:r>
    </w:p>
    <w:p w14:paraId="029C8690" w14:textId="77777777" w:rsidR="003162EA" w:rsidRPr="0019654B" w:rsidRDefault="003162EA" w:rsidP="003162EA">
      <w:pPr>
        <w:pStyle w:val="a3"/>
        <w:spacing w:line="23" w:lineRule="atLeast"/>
        <w:ind w:firstLine="709"/>
        <w:jc w:val="both"/>
        <w:rPr>
          <w:sz w:val="24"/>
        </w:rPr>
      </w:pPr>
      <w:r w:rsidRPr="0019654B">
        <w:rPr>
          <w:sz w:val="24"/>
        </w:rPr>
        <w:t>В контексте разработки АООП осуществляется реализация деятельностного и системного подходов.</w:t>
      </w:r>
    </w:p>
    <w:p w14:paraId="49E2E933" w14:textId="77777777" w:rsidR="003162EA" w:rsidRPr="0019654B" w:rsidRDefault="003162EA" w:rsidP="003162EA">
      <w:pPr>
        <w:pStyle w:val="a3"/>
        <w:spacing w:line="23" w:lineRule="atLeast"/>
        <w:ind w:firstLine="709"/>
        <w:jc w:val="both"/>
        <w:rPr>
          <w:sz w:val="24"/>
        </w:rPr>
      </w:pPr>
      <w:r w:rsidRPr="0019654B">
        <w:rPr>
          <w:sz w:val="24"/>
        </w:rPr>
        <w:t xml:space="preserve">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личностно-ориентированные. </w:t>
      </w:r>
    </w:p>
    <w:p w14:paraId="21192DC9" w14:textId="77777777" w:rsidR="003162EA" w:rsidRPr="0019654B" w:rsidRDefault="003162EA" w:rsidP="003162EA">
      <w:pPr>
        <w:pStyle w:val="a3"/>
        <w:spacing w:line="23" w:lineRule="atLeast"/>
        <w:ind w:firstLine="709"/>
        <w:jc w:val="both"/>
        <w:rPr>
          <w:sz w:val="24"/>
        </w:rPr>
      </w:pPr>
      <w:r w:rsidRPr="0019654B">
        <w:rPr>
          <w:sz w:val="24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определённых отношений между языковыми единицами одного уровня и разных уровней.</w:t>
      </w:r>
    </w:p>
    <w:p w14:paraId="5DFE43D8" w14:textId="77777777" w:rsidR="003162EA" w:rsidRPr="0019654B" w:rsidRDefault="003162EA" w:rsidP="003162EA">
      <w:pPr>
        <w:pStyle w:val="a3"/>
        <w:spacing w:line="23" w:lineRule="atLeast"/>
        <w:ind w:firstLine="709"/>
        <w:jc w:val="both"/>
        <w:rPr>
          <w:sz w:val="24"/>
        </w:rPr>
      </w:pPr>
      <w:r w:rsidRPr="0019654B">
        <w:rPr>
          <w:sz w:val="24"/>
        </w:rPr>
        <w:t>Системный подход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ребёнка.</w:t>
      </w:r>
    </w:p>
    <w:p w14:paraId="7E7DAEC6" w14:textId="77777777" w:rsidR="003162EA" w:rsidRPr="0019654B" w:rsidRDefault="003162EA" w:rsidP="003162EA">
      <w:pPr>
        <w:pStyle w:val="a3"/>
        <w:spacing w:line="23" w:lineRule="atLeast"/>
        <w:ind w:firstLine="709"/>
        <w:jc w:val="both"/>
        <w:rPr>
          <w:sz w:val="24"/>
        </w:rPr>
      </w:pPr>
      <w:r w:rsidRPr="0019654B">
        <w:rPr>
          <w:sz w:val="24"/>
        </w:rPr>
        <w:t>Основным средством реализации системного подхода в образовании учащихся ТНР является включение речи на всех этапах учебной деятельности учащихся.</w:t>
      </w:r>
    </w:p>
    <w:p w14:paraId="36A6E50E" w14:textId="77777777" w:rsidR="003162EA" w:rsidRPr="0019654B" w:rsidRDefault="003162EA" w:rsidP="003162EA">
      <w:pPr>
        <w:pStyle w:val="a3"/>
        <w:spacing w:line="23" w:lineRule="atLeast"/>
        <w:ind w:firstLine="709"/>
        <w:jc w:val="both"/>
        <w:rPr>
          <w:sz w:val="24"/>
        </w:rPr>
      </w:pPr>
      <w:r w:rsidRPr="0019654B">
        <w:rPr>
          <w:sz w:val="24"/>
        </w:rPr>
        <w:t>Организация системного подхода поддерживает междисциплинарные связи, поскольку обеспечивает:</w:t>
      </w:r>
    </w:p>
    <w:p w14:paraId="3BAE1F21" w14:textId="77777777" w:rsidR="003162EA" w:rsidRPr="0019654B" w:rsidRDefault="003162EA" w:rsidP="003162EA">
      <w:pPr>
        <w:pStyle w:val="a3"/>
        <w:spacing w:line="23" w:lineRule="atLeast"/>
        <w:ind w:firstLine="709"/>
        <w:jc w:val="both"/>
        <w:rPr>
          <w:sz w:val="24"/>
        </w:rPr>
      </w:pPr>
      <w:r w:rsidRPr="0019654B">
        <w:rPr>
          <w:sz w:val="24"/>
        </w:rPr>
        <w:lastRenderedPageBreak/>
        <w:t>- 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14:paraId="21ED150C" w14:textId="77777777" w:rsidR="003162EA" w:rsidRPr="0019654B" w:rsidRDefault="003162EA" w:rsidP="003162EA">
      <w:pPr>
        <w:pStyle w:val="a3"/>
        <w:spacing w:line="23" w:lineRule="atLeast"/>
        <w:ind w:firstLine="709"/>
        <w:jc w:val="both"/>
        <w:rPr>
          <w:sz w:val="24"/>
        </w:rPr>
      </w:pPr>
      <w:r w:rsidRPr="0019654B">
        <w:rPr>
          <w:sz w:val="24"/>
        </w:rPr>
        <w:t>- воздействие на все компоненты речи при устранении её системного недоразвития в процессе освоения содержания предмета (истории);</w:t>
      </w:r>
    </w:p>
    <w:p w14:paraId="1F4D41F5" w14:textId="77777777" w:rsidR="003162EA" w:rsidRPr="0019654B" w:rsidRDefault="003162EA" w:rsidP="003162EA">
      <w:pPr>
        <w:pStyle w:val="a3"/>
        <w:spacing w:line="23" w:lineRule="atLeast"/>
        <w:ind w:firstLine="709"/>
        <w:jc w:val="both"/>
        <w:rPr>
          <w:sz w:val="24"/>
        </w:rPr>
      </w:pPr>
      <w:r w:rsidRPr="0019654B">
        <w:rPr>
          <w:sz w:val="24"/>
        </w:rPr>
        <w:t>-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14:paraId="71E80A40" w14:textId="77777777" w:rsidR="003162EA" w:rsidRPr="0019654B" w:rsidRDefault="003162EA" w:rsidP="003162EA">
      <w:pPr>
        <w:spacing w:line="23" w:lineRule="atLeast"/>
        <w:ind w:firstLine="709"/>
        <w:contextualSpacing/>
        <w:jc w:val="both"/>
        <w:rPr>
          <w:u w:val="single"/>
        </w:rPr>
      </w:pPr>
      <w:r w:rsidRPr="0019654B">
        <w:t xml:space="preserve">При планировании предполагаемых результатов по освоению адаптированных образовательных программ по истории,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 </w:t>
      </w:r>
    </w:p>
    <w:p w14:paraId="6DDE2691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rPr>
          <w:i/>
          <w:iCs/>
        </w:rPr>
        <w:t>Оценка достижения результатов</w:t>
      </w:r>
      <w:r w:rsidRPr="0019654B">
        <w:t xml:space="preserve"> осуществляется по пятибалльной системе (с измененной шкалой оценивания):</w:t>
      </w:r>
    </w:p>
    <w:p w14:paraId="7E7A8979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 «5» - отлично, </w:t>
      </w:r>
    </w:p>
    <w:p w14:paraId="3DF8F073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 «4» - хорошо, </w:t>
      </w:r>
    </w:p>
    <w:p w14:paraId="122D519C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 «3» - удовлетворительно, </w:t>
      </w:r>
    </w:p>
    <w:p w14:paraId="6FA07B60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 «2» - неудовлетворительно. </w:t>
      </w:r>
    </w:p>
    <w:p w14:paraId="7AAA0A6E" w14:textId="21FBE0F1" w:rsidR="003162EA" w:rsidRPr="0019654B" w:rsidRDefault="003162EA" w:rsidP="003162EA">
      <w:pPr>
        <w:spacing w:line="23" w:lineRule="atLeast"/>
        <w:ind w:firstLine="709"/>
        <w:jc w:val="both"/>
      </w:pPr>
      <w:r w:rsidRPr="0019654B"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предлагаются более легкие варианты заданий. При оценке письменных работ обучающихся с двигательными нарушениями, не следует снижать оценку за плохой почерк, неаккуратность письма, качество записей и </w:t>
      </w:r>
      <w:r>
        <w:t>схем</w:t>
      </w:r>
      <w:r w:rsidRPr="0019654B">
        <w:t xml:space="preserve">. К ученикам с особенностями </w:t>
      </w:r>
      <w:proofErr w:type="gramStart"/>
      <w:r w:rsidRPr="0019654B">
        <w:t>развития  эмоционально</w:t>
      </w:r>
      <w:proofErr w:type="gramEnd"/>
      <w:r w:rsidRPr="0019654B">
        <w:t xml:space="preserve">-волевой сферы рекомендуется применять дополнительные стимулирующие приемы (давать задания поэтапно, поощрять и одобрять обучающихся в ходе выполнения работы и т.п.). </w:t>
      </w:r>
    </w:p>
    <w:p w14:paraId="685F2834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>Итоговая оценка знаний, умений и навыков выставляется:</w:t>
      </w:r>
    </w:p>
    <w:p w14:paraId="259631AD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>- по результатам устного опроса, текущих и итоговых контрольных работ, наблюдений учителя за повседневной работой ученика;</w:t>
      </w:r>
    </w:p>
    <w:p w14:paraId="0DFC8B13" w14:textId="77777777" w:rsidR="003162EA" w:rsidRPr="0019654B" w:rsidRDefault="003162EA" w:rsidP="003162EA">
      <w:pPr>
        <w:spacing w:line="23" w:lineRule="atLeast"/>
        <w:ind w:firstLine="709"/>
        <w:contextualSpacing/>
        <w:jc w:val="both"/>
        <w:rPr>
          <w:color w:val="000000"/>
        </w:rPr>
      </w:pPr>
      <w:r w:rsidRPr="0019654B">
        <w:t>- с использованием индивидуально-дифференцированного подхода 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14:paraId="2C70077C" w14:textId="77777777" w:rsidR="003162EA" w:rsidRPr="0019654B" w:rsidRDefault="003162EA" w:rsidP="003162EA">
      <w:pPr>
        <w:spacing w:line="23" w:lineRule="atLeast"/>
        <w:ind w:firstLine="709"/>
        <w:contextualSpacing/>
        <w:jc w:val="both"/>
        <w:rPr>
          <w:color w:val="000000"/>
        </w:rPr>
      </w:pPr>
      <w:r w:rsidRPr="0019654B">
        <w:rPr>
          <w:color w:val="000000"/>
        </w:rPr>
        <w:t>Система оценивания включает в себя две составляющие – качественную и количественную.</w:t>
      </w:r>
    </w:p>
    <w:p w14:paraId="60DBE0A2" w14:textId="77777777" w:rsidR="003162EA" w:rsidRPr="0019654B" w:rsidRDefault="003162EA" w:rsidP="003162EA">
      <w:pPr>
        <w:spacing w:line="23" w:lineRule="atLeast"/>
        <w:ind w:firstLine="709"/>
        <w:contextualSpacing/>
        <w:jc w:val="both"/>
        <w:rPr>
          <w:color w:val="000000"/>
        </w:rPr>
      </w:pPr>
      <w:r w:rsidRPr="0019654B">
        <w:rPr>
          <w:color w:val="000000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</w:t>
      </w:r>
    </w:p>
    <w:p w14:paraId="6E4596B8" w14:textId="77777777" w:rsidR="003162EA" w:rsidRPr="0019654B" w:rsidRDefault="003162EA" w:rsidP="003162EA">
      <w:pPr>
        <w:spacing w:line="23" w:lineRule="atLeast"/>
        <w:ind w:firstLine="709"/>
        <w:contextualSpacing/>
        <w:jc w:val="both"/>
        <w:rPr>
          <w:color w:val="000000"/>
        </w:rPr>
      </w:pPr>
      <w:r w:rsidRPr="0019654B">
        <w:rPr>
          <w:color w:val="000000"/>
        </w:rPr>
        <w:t xml:space="preserve">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14:paraId="7EB3F1F3" w14:textId="77777777" w:rsidR="003162EA" w:rsidRPr="0019654B" w:rsidRDefault="003162EA" w:rsidP="003162EA">
      <w:pPr>
        <w:spacing w:line="23" w:lineRule="atLeast"/>
        <w:ind w:firstLine="709"/>
        <w:contextualSpacing/>
        <w:jc w:val="both"/>
        <w:rPr>
          <w:color w:val="000000"/>
        </w:rPr>
      </w:pPr>
      <w:r w:rsidRPr="0019654B">
        <w:rPr>
          <w:color w:val="000000"/>
        </w:rPr>
        <w:t xml:space="preserve">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особенностей. </w:t>
      </w:r>
    </w:p>
    <w:p w14:paraId="5855E0B3" w14:textId="77777777" w:rsidR="003162EA" w:rsidRPr="0019654B" w:rsidRDefault="003162EA" w:rsidP="003162EA">
      <w:pPr>
        <w:ind w:firstLine="709"/>
        <w:jc w:val="both"/>
      </w:pPr>
      <w:r w:rsidRPr="0019654B"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14:paraId="719A22BE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14:paraId="4133CC8F" w14:textId="77777777" w:rsidR="003162EA" w:rsidRPr="0019654B" w:rsidRDefault="003162EA" w:rsidP="003162EA">
      <w:pPr>
        <w:pStyle w:val="a6"/>
        <w:widowControl w:val="0"/>
        <w:numPr>
          <w:ilvl w:val="0"/>
          <w:numId w:val="11"/>
        </w:numPr>
        <w:autoSpaceDE w:val="0"/>
        <w:autoSpaceDN w:val="0"/>
        <w:spacing w:line="23" w:lineRule="atLeast"/>
        <w:jc w:val="both"/>
      </w:pPr>
      <w:r w:rsidRPr="0019654B">
        <w:t>правильность ответа по содержанию, свидетельствующая об осознанности усвоения изученного материала;</w:t>
      </w:r>
    </w:p>
    <w:p w14:paraId="7B3B5566" w14:textId="77777777" w:rsidR="003162EA" w:rsidRPr="0019654B" w:rsidRDefault="003162EA" w:rsidP="003162EA">
      <w:pPr>
        <w:pStyle w:val="a6"/>
        <w:widowControl w:val="0"/>
        <w:numPr>
          <w:ilvl w:val="0"/>
          <w:numId w:val="11"/>
        </w:numPr>
        <w:autoSpaceDE w:val="0"/>
        <w:autoSpaceDN w:val="0"/>
        <w:spacing w:line="23" w:lineRule="atLeast"/>
        <w:jc w:val="both"/>
      </w:pPr>
      <w:r w:rsidRPr="0019654B">
        <w:lastRenderedPageBreak/>
        <w:t>полнота ответа;</w:t>
      </w:r>
    </w:p>
    <w:p w14:paraId="2E4826E3" w14:textId="77777777" w:rsidR="003162EA" w:rsidRPr="0019654B" w:rsidRDefault="003162EA" w:rsidP="003162EA">
      <w:pPr>
        <w:pStyle w:val="a6"/>
        <w:widowControl w:val="0"/>
        <w:numPr>
          <w:ilvl w:val="0"/>
          <w:numId w:val="11"/>
        </w:numPr>
        <w:autoSpaceDE w:val="0"/>
        <w:autoSpaceDN w:val="0"/>
        <w:spacing w:line="23" w:lineRule="atLeast"/>
        <w:jc w:val="both"/>
      </w:pPr>
      <w:r w:rsidRPr="0019654B">
        <w:t>умение практически применять свои знания;</w:t>
      </w:r>
    </w:p>
    <w:p w14:paraId="21089D9F" w14:textId="77777777" w:rsidR="003162EA" w:rsidRPr="0019654B" w:rsidRDefault="003162EA" w:rsidP="003162EA">
      <w:pPr>
        <w:pStyle w:val="a6"/>
        <w:widowControl w:val="0"/>
        <w:numPr>
          <w:ilvl w:val="0"/>
          <w:numId w:val="11"/>
        </w:numPr>
        <w:autoSpaceDE w:val="0"/>
        <w:autoSpaceDN w:val="0"/>
        <w:spacing w:line="23" w:lineRule="atLeast"/>
        <w:jc w:val="both"/>
      </w:pPr>
      <w:r w:rsidRPr="0019654B">
        <w:t>последовательность изложения и речевое оформление ответа.</w:t>
      </w:r>
    </w:p>
    <w:p w14:paraId="6293975B" w14:textId="77777777" w:rsidR="003162EA" w:rsidRPr="0019654B" w:rsidRDefault="003162EA" w:rsidP="003162EA">
      <w:pPr>
        <w:spacing w:line="23" w:lineRule="atLeast"/>
        <w:ind w:firstLine="709"/>
        <w:contextualSpacing/>
        <w:jc w:val="both"/>
        <w:rPr>
          <w:color w:val="FF3333"/>
        </w:rPr>
      </w:pPr>
      <w:r w:rsidRPr="0019654B">
        <w:t>Критерии для оценивания устных ответов:</w:t>
      </w:r>
    </w:p>
    <w:p w14:paraId="5322598C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14:paraId="67D22161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</w:t>
      </w:r>
      <w:proofErr w:type="spellStart"/>
      <w:r w:rsidRPr="0019654B">
        <w:t>аграмматизм</w:t>
      </w:r>
      <w:proofErr w:type="spellEnd"/>
      <w:r w:rsidRPr="0019654B">
        <w:t xml:space="preserve">. </w:t>
      </w:r>
    </w:p>
    <w:p w14:paraId="0357780F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14:paraId="4DA5878D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>При оценке письменных работ следует руководствоваться следующими нормами:</w:t>
      </w:r>
    </w:p>
    <w:p w14:paraId="624E1D96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 - оценка «5» ставится за работу без ошибок;</w:t>
      </w:r>
    </w:p>
    <w:p w14:paraId="69D1FCE0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 - оценка «4» ставится за работу с одной - тремя ошибками;</w:t>
      </w:r>
    </w:p>
    <w:p w14:paraId="37DF011B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 - оценка «3» ставится за работу с четырьмя- шестью ошибками. </w:t>
      </w:r>
    </w:p>
    <w:p w14:paraId="013A3996" w14:textId="1705D3F6" w:rsidR="003162EA" w:rsidRPr="0019654B" w:rsidRDefault="003162EA" w:rsidP="003162EA">
      <w:pPr>
        <w:ind w:firstLine="709"/>
        <w:jc w:val="both"/>
        <w:outlineLvl w:val="0"/>
      </w:pPr>
      <w:r w:rsidRPr="0019654B">
        <w:t xml:space="preserve">Оценка не снижается за грамматические и </w:t>
      </w:r>
      <w:proofErr w:type="spellStart"/>
      <w:r w:rsidRPr="0019654B">
        <w:t>дисграфические</w:t>
      </w:r>
      <w:proofErr w:type="spellEnd"/>
      <w:r w:rsidRPr="0019654B"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</w:t>
      </w:r>
      <w:r>
        <w:t>обществознания</w:t>
      </w:r>
      <w:r w:rsidRPr="0019654B">
        <w:t>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14:paraId="31BFDBA0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</w:t>
      </w:r>
      <w:bookmarkStart w:id="0" w:name="_GoBack"/>
      <w:bookmarkEnd w:id="0"/>
      <w:r w:rsidRPr="0019654B">
        <w:t xml:space="preserve">искажение звукобуквенного состава слов (пропуски, перестановки, добавления, </w:t>
      </w:r>
      <w:proofErr w:type="spellStart"/>
      <w:r w:rsidRPr="0019654B">
        <w:t>недописывание</w:t>
      </w:r>
      <w:proofErr w:type="spellEnd"/>
      <w:r w:rsidRPr="0019654B"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14:paraId="28596271" w14:textId="77777777" w:rsidR="003162EA" w:rsidRPr="0019654B" w:rsidRDefault="003162EA" w:rsidP="003162EA">
      <w:pPr>
        <w:spacing w:line="23" w:lineRule="atLeast"/>
        <w:ind w:firstLine="709"/>
        <w:contextualSpacing/>
        <w:jc w:val="both"/>
      </w:pPr>
      <w:r w:rsidRPr="0019654B"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14:paraId="2312D536" w14:textId="77777777" w:rsidR="00CD597E" w:rsidRPr="00CD597E" w:rsidRDefault="00CD597E" w:rsidP="003162EA">
      <w:pPr>
        <w:pStyle w:val="a3"/>
        <w:spacing w:line="25" w:lineRule="atLeast"/>
        <w:ind w:firstLine="709"/>
        <w:jc w:val="both"/>
        <w:rPr>
          <w:sz w:val="24"/>
        </w:rPr>
      </w:pPr>
    </w:p>
    <w:sectPr w:rsidR="00CD597E" w:rsidRPr="00CD597E" w:rsidSect="00CD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985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843"/>
        </w:tabs>
        <w:ind w:left="8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E64F7"/>
    <w:multiLevelType w:val="hybridMultilevel"/>
    <w:tmpl w:val="BF1A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F301D"/>
    <w:multiLevelType w:val="hybridMultilevel"/>
    <w:tmpl w:val="D53032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9C5F99"/>
    <w:multiLevelType w:val="multilevel"/>
    <w:tmpl w:val="BAB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5F40"/>
    <w:multiLevelType w:val="hybridMultilevel"/>
    <w:tmpl w:val="DCB6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658B6"/>
    <w:multiLevelType w:val="hybridMultilevel"/>
    <w:tmpl w:val="EBCC7B0A"/>
    <w:lvl w:ilvl="0" w:tplc="A7AAB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926DB"/>
    <w:multiLevelType w:val="hybridMultilevel"/>
    <w:tmpl w:val="B1F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3BE"/>
    <w:multiLevelType w:val="multilevel"/>
    <w:tmpl w:val="BAB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F7346"/>
    <w:multiLevelType w:val="hybridMultilevel"/>
    <w:tmpl w:val="3904DC0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9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6D96"/>
    <w:multiLevelType w:val="hybridMultilevel"/>
    <w:tmpl w:val="DCB6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CD4"/>
    <w:rsid w:val="0001006B"/>
    <w:rsid w:val="00042F0E"/>
    <w:rsid w:val="000A6A2A"/>
    <w:rsid w:val="000B07F6"/>
    <w:rsid w:val="000E796A"/>
    <w:rsid w:val="000F6C33"/>
    <w:rsid w:val="00131191"/>
    <w:rsid w:val="001679C2"/>
    <w:rsid w:val="00213118"/>
    <w:rsid w:val="002352CC"/>
    <w:rsid w:val="00287512"/>
    <w:rsid w:val="002E1F71"/>
    <w:rsid w:val="0030238B"/>
    <w:rsid w:val="003162EA"/>
    <w:rsid w:val="00324D5F"/>
    <w:rsid w:val="00381A1F"/>
    <w:rsid w:val="003944C7"/>
    <w:rsid w:val="003A1A5B"/>
    <w:rsid w:val="003F5947"/>
    <w:rsid w:val="00400AF5"/>
    <w:rsid w:val="00406EC5"/>
    <w:rsid w:val="004077B7"/>
    <w:rsid w:val="004360F5"/>
    <w:rsid w:val="00474E66"/>
    <w:rsid w:val="00485609"/>
    <w:rsid w:val="0049577A"/>
    <w:rsid w:val="00497588"/>
    <w:rsid w:val="004F4A5E"/>
    <w:rsid w:val="00503EBC"/>
    <w:rsid w:val="00523CD8"/>
    <w:rsid w:val="00530915"/>
    <w:rsid w:val="005561CC"/>
    <w:rsid w:val="00557DDD"/>
    <w:rsid w:val="00557F8D"/>
    <w:rsid w:val="00583B97"/>
    <w:rsid w:val="005E5B86"/>
    <w:rsid w:val="006051E7"/>
    <w:rsid w:val="0061286E"/>
    <w:rsid w:val="006315ED"/>
    <w:rsid w:val="00633680"/>
    <w:rsid w:val="00661C38"/>
    <w:rsid w:val="0067043B"/>
    <w:rsid w:val="006C4E62"/>
    <w:rsid w:val="006E2286"/>
    <w:rsid w:val="006F4674"/>
    <w:rsid w:val="00725CD8"/>
    <w:rsid w:val="0075568D"/>
    <w:rsid w:val="007D228B"/>
    <w:rsid w:val="007E0A3E"/>
    <w:rsid w:val="00803917"/>
    <w:rsid w:val="0080689A"/>
    <w:rsid w:val="00817C04"/>
    <w:rsid w:val="00863229"/>
    <w:rsid w:val="008A1F92"/>
    <w:rsid w:val="008E77C9"/>
    <w:rsid w:val="008F0B6D"/>
    <w:rsid w:val="008F2365"/>
    <w:rsid w:val="00910DEB"/>
    <w:rsid w:val="00926660"/>
    <w:rsid w:val="00953CD4"/>
    <w:rsid w:val="00981F13"/>
    <w:rsid w:val="009D280C"/>
    <w:rsid w:val="00A03116"/>
    <w:rsid w:val="00A21C5F"/>
    <w:rsid w:val="00A30D26"/>
    <w:rsid w:val="00A407D5"/>
    <w:rsid w:val="00A427C7"/>
    <w:rsid w:val="00A63568"/>
    <w:rsid w:val="00A9732A"/>
    <w:rsid w:val="00AA0053"/>
    <w:rsid w:val="00AA2723"/>
    <w:rsid w:val="00AA7E66"/>
    <w:rsid w:val="00AD44C0"/>
    <w:rsid w:val="00AF65CD"/>
    <w:rsid w:val="00B02643"/>
    <w:rsid w:val="00B83AD4"/>
    <w:rsid w:val="00BD6EBD"/>
    <w:rsid w:val="00C30015"/>
    <w:rsid w:val="00C62C64"/>
    <w:rsid w:val="00C83146"/>
    <w:rsid w:val="00C91572"/>
    <w:rsid w:val="00CD597E"/>
    <w:rsid w:val="00CE5F41"/>
    <w:rsid w:val="00CF65B2"/>
    <w:rsid w:val="00D30E02"/>
    <w:rsid w:val="00D31239"/>
    <w:rsid w:val="00D47E1B"/>
    <w:rsid w:val="00D7535A"/>
    <w:rsid w:val="00D938D7"/>
    <w:rsid w:val="00DB2B12"/>
    <w:rsid w:val="00DC0BB7"/>
    <w:rsid w:val="00DC184C"/>
    <w:rsid w:val="00DF4D44"/>
    <w:rsid w:val="00E1197C"/>
    <w:rsid w:val="00E25CB4"/>
    <w:rsid w:val="00E2718F"/>
    <w:rsid w:val="00E36814"/>
    <w:rsid w:val="00E415CA"/>
    <w:rsid w:val="00E67C5E"/>
    <w:rsid w:val="00EB5F5F"/>
    <w:rsid w:val="00EB6D7A"/>
    <w:rsid w:val="00EC2D42"/>
    <w:rsid w:val="00EE39CB"/>
    <w:rsid w:val="00EF7D29"/>
    <w:rsid w:val="00F238CA"/>
    <w:rsid w:val="00F26933"/>
    <w:rsid w:val="00F30B55"/>
    <w:rsid w:val="00F73CF5"/>
    <w:rsid w:val="00F75896"/>
    <w:rsid w:val="00F87BCD"/>
    <w:rsid w:val="00FD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0368"/>
  <w15:docId w15:val="{EFFB11AB-7493-4201-8D21-C4CD45D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4DC"/>
    <w:rPr>
      <w:sz w:val="28"/>
    </w:rPr>
  </w:style>
  <w:style w:type="character" w:customStyle="1" w:styleId="a4">
    <w:name w:val="Основной текст Знак"/>
    <w:link w:val="a3"/>
    <w:rsid w:val="00FD04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02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E415CA"/>
    <w:pPr>
      <w:ind w:left="720"/>
      <w:contextualSpacing/>
    </w:pPr>
  </w:style>
  <w:style w:type="paragraph" w:customStyle="1" w:styleId="zag1">
    <w:name w:val="zag_1"/>
    <w:basedOn w:val="a"/>
    <w:rsid w:val="0049577A"/>
    <w:pPr>
      <w:spacing w:before="100" w:beforeAutospacing="1" w:after="100" w:afterAutospacing="1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ag2">
    <w:name w:val="zag_2"/>
    <w:basedOn w:val="a"/>
    <w:rsid w:val="0049577A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character" w:styleId="a7">
    <w:name w:val="Hyperlink"/>
    <w:uiPriority w:val="99"/>
    <w:semiHidden/>
    <w:unhideWhenUsed/>
    <w:rsid w:val="0049577A"/>
    <w:rPr>
      <w:color w:val="0000FF"/>
      <w:u w:val="single"/>
    </w:rPr>
  </w:style>
  <w:style w:type="paragraph" w:styleId="a8">
    <w:name w:val="Normal (Web)"/>
    <w:basedOn w:val="a"/>
    <w:unhideWhenUsed/>
    <w:rsid w:val="0049577A"/>
    <w:pPr>
      <w:spacing w:before="100" w:beforeAutospacing="1" w:after="100" w:afterAutospacing="1"/>
    </w:pPr>
  </w:style>
  <w:style w:type="character" w:styleId="a9">
    <w:name w:val="Emphasis"/>
    <w:qFormat/>
    <w:rsid w:val="0049577A"/>
    <w:rPr>
      <w:i/>
      <w:iCs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8632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3123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A973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qFormat/>
    <w:rsid w:val="00A42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cp:lastModifiedBy>Anna</cp:lastModifiedBy>
  <cp:revision>45</cp:revision>
  <cp:lastPrinted>2012-09-19T16:28:00Z</cp:lastPrinted>
  <dcterms:created xsi:type="dcterms:W3CDTF">2014-08-28T17:27:00Z</dcterms:created>
  <dcterms:modified xsi:type="dcterms:W3CDTF">2019-12-07T14:14:00Z</dcterms:modified>
</cp:coreProperties>
</file>